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D259C" w:rsidR="005D259C" w:rsidP="005D259C" w:rsidRDefault="005D259C" w14:paraId="2951979B" w14:textId="77777777">
      <w:r w:rsidRPr="005D259C">
        <w:rPr>
          <w:b/>
          <w:bCs/>
        </w:rPr>
        <w:t>Camden SEND and Inclusion Service Standards for Schools</w:t>
      </w:r>
    </w:p>
    <w:p w:rsidR="0071160A" w:rsidP="005D259C" w:rsidRDefault="005D259C" w14:paraId="15D641F4" w14:textId="77777777">
      <w:r w:rsidRPr="005D259C">
        <w:rPr>
          <w:b/>
          <w:bCs/>
        </w:rPr>
        <w:t>Introduction</w:t>
      </w:r>
      <w:r w:rsidRPr="005D259C">
        <w:t xml:space="preserve"> </w:t>
      </w:r>
    </w:p>
    <w:p w:rsidRPr="005D259C" w:rsidR="005D259C" w:rsidP="005D259C" w:rsidRDefault="005D259C" w14:paraId="3A31D6A6" w14:textId="78F2CE03">
      <w:r w:rsidRPr="005D259C">
        <w:t>Camden SEND and Inclusion Service is committed to building strong, transparent, and effective partnerships with all schools across the borough. In line with the SEND Code of Practice and Camden’s SEND Strategy, these service standards set out what schools can expect from our service, how we will measure improvements in our relationships and delivery, and how we will gather and respond to school feedback. We will work in close partnership with Camden Learning to ensure these standards are embedded within borough-wide school improvement, leadership development, and inclusive education practice.</w:t>
      </w:r>
    </w:p>
    <w:p w:rsidRPr="005D259C" w:rsidR="005D259C" w:rsidP="005D259C" w:rsidRDefault="00EC2F8C" w14:paraId="250460C5" w14:textId="77777777">
      <w:r>
        <w:pict w14:anchorId="6FFC70E3">
          <v:rect id="_x0000_i1025" style="width:0;height:1.5pt" o:hr="t" o:hrstd="t" o:hralign="center" fillcolor="#a0a0a0" stroked="f"/>
        </w:pict>
      </w:r>
    </w:p>
    <w:p w:rsidRPr="005D259C" w:rsidR="005D259C" w:rsidP="005D259C" w:rsidRDefault="005D259C" w14:paraId="34011D77" w14:textId="77777777">
      <w:r w:rsidRPr="005D259C">
        <w:rPr>
          <w:b/>
          <w:bCs/>
        </w:rPr>
        <w:t>What Schools Can Expect from Camden SEND and Inclusion Services</w:t>
      </w:r>
    </w:p>
    <w:p w:rsidRPr="005D259C" w:rsidR="005D259C" w:rsidP="005D259C" w:rsidRDefault="005D259C" w14:paraId="29D4250A" w14:textId="77777777">
      <w:pPr>
        <w:numPr>
          <w:ilvl w:val="0"/>
          <w:numId w:val="1"/>
        </w:numPr>
      </w:pPr>
      <w:r w:rsidRPr="005D259C">
        <w:rPr>
          <w:b/>
          <w:bCs/>
        </w:rPr>
        <w:t>Clear Communication and Named Contacts</w:t>
      </w:r>
    </w:p>
    <w:p w:rsidRPr="005D259C" w:rsidR="005D259C" w:rsidP="005D259C" w:rsidRDefault="005D259C" w14:paraId="4A9DBD0F" w14:textId="2114870F">
      <w:pPr>
        <w:numPr>
          <w:ilvl w:val="1"/>
          <w:numId w:val="1"/>
        </w:numPr>
      </w:pPr>
      <w:r w:rsidRPr="005D259C">
        <w:t xml:space="preserve">Schools will have a named </w:t>
      </w:r>
      <w:r w:rsidR="0071160A">
        <w:t xml:space="preserve">SEN </w:t>
      </w:r>
      <w:r w:rsidRPr="005D259C">
        <w:t>Case Officer and identified contacts in EPS, EYIT, and the Sensory Team.</w:t>
      </w:r>
    </w:p>
    <w:p w:rsidRPr="005D259C" w:rsidR="005D259C" w:rsidP="005D259C" w:rsidRDefault="005D259C" w14:paraId="206ACCC8" w14:textId="77777777">
      <w:pPr>
        <w:numPr>
          <w:ilvl w:val="1"/>
          <w:numId w:val="1"/>
        </w:numPr>
      </w:pPr>
      <w:r w:rsidRPr="005D259C">
        <w:t>Information about roles, timelines, and points of contact will be shared annually and updated termly.</w:t>
      </w:r>
    </w:p>
    <w:p w:rsidRPr="005D259C" w:rsidR="005D259C" w:rsidP="005D259C" w:rsidRDefault="005D259C" w14:paraId="3C3ED073" w14:textId="77777777">
      <w:pPr>
        <w:numPr>
          <w:ilvl w:val="0"/>
          <w:numId w:val="1"/>
        </w:numPr>
      </w:pPr>
      <w:r w:rsidRPr="005D259C">
        <w:rPr>
          <w:b/>
          <w:bCs/>
        </w:rPr>
        <w:t>Timely and Effective Support</w:t>
      </w:r>
    </w:p>
    <w:p w:rsidRPr="005D259C" w:rsidR="005D259C" w:rsidP="005D259C" w:rsidRDefault="005D259C" w14:paraId="50CFA3AB" w14:textId="055290BC" w14:noSpellErr="1">
      <w:pPr>
        <w:numPr>
          <w:ilvl w:val="1"/>
          <w:numId w:val="1"/>
        </w:numPr>
        <w:rPr/>
      </w:pPr>
      <w:r w:rsidR="005D259C">
        <w:rPr/>
        <w:t xml:space="preserve">Camden SEND services will respond to school queries within </w:t>
      </w:r>
      <w:r w:rsidR="0071160A">
        <w:rPr/>
        <w:t>5</w:t>
      </w:r>
      <w:r w:rsidR="005D259C">
        <w:rPr/>
        <w:t xml:space="preserve"> working days.</w:t>
      </w:r>
    </w:p>
    <w:p w:rsidRPr="005D259C" w:rsidR="005D259C" w:rsidP="005D259C" w:rsidRDefault="005D259C" w14:paraId="48C6B36F" w14:textId="77777777">
      <w:pPr>
        <w:numPr>
          <w:ilvl w:val="1"/>
          <w:numId w:val="1"/>
        </w:numPr>
      </w:pPr>
      <w:r w:rsidRPr="005D259C">
        <w:t>Clear timelines for key processes (e.g. EHCP requests, Annual Reviews) will be shared and followed consistently.</w:t>
      </w:r>
    </w:p>
    <w:p w:rsidRPr="005D259C" w:rsidR="005D259C" w:rsidP="005D259C" w:rsidRDefault="005D259C" w14:paraId="09DE7AC6" w14:textId="77777777">
      <w:pPr>
        <w:numPr>
          <w:ilvl w:val="0"/>
          <w:numId w:val="1"/>
        </w:numPr>
      </w:pPr>
      <w:r w:rsidRPr="005D259C">
        <w:rPr>
          <w:b/>
          <w:bCs/>
        </w:rPr>
        <w:t>Consistent and Transparent Processes</w:t>
      </w:r>
    </w:p>
    <w:p w:rsidRPr="005D259C" w:rsidR="005D259C" w:rsidP="005D259C" w:rsidRDefault="005D259C" w14:paraId="3718C26A" w14:textId="464295B5" w14:noSpellErr="1">
      <w:pPr>
        <w:numPr>
          <w:ilvl w:val="1"/>
          <w:numId w:val="1"/>
        </w:numPr>
        <w:rPr/>
      </w:pPr>
      <w:r w:rsidR="005D259C">
        <w:rPr/>
        <w:t xml:space="preserve">Schools will receive updated guidance and templates for statutory processes </w:t>
      </w:r>
      <w:r w:rsidR="0071160A">
        <w:rPr/>
        <w:t xml:space="preserve">at least </w:t>
      </w:r>
      <w:r w:rsidR="005D259C">
        <w:rPr/>
        <w:t>annually.</w:t>
      </w:r>
    </w:p>
    <w:p w:rsidRPr="005D259C" w:rsidR="005D259C" w:rsidP="005D259C" w:rsidRDefault="005D259C" w14:paraId="4BE73719" w14:textId="1E48283F">
      <w:pPr>
        <w:numPr>
          <w:ilvl w:val="1"/>
          <w:numId w:val="1"/>
        </w:numPr>
      </w:pPr>
      <w:r>
        <w:t>SEND and Inclusion staff</w:t>
      </w:r>
      <w:r w:rsidRPr="005D259C">
        <w:t xml:space="preserve"> will work to shared borough-wide service standards and expectations.</w:t>
      </w:r>
    </w:p>
    <w:p w:rsidRPr="005D259C" w:rsidR="005D259C" w:rsidP="005D259C" w:rsidRDefault="005D259C" w14:paraId="003984B7" w14:textId="77777777">
      <w:pPr>
        <w:numPr>
          <w:ilvl w:val="0"/>
          <w:numId w:val="1"/>
        </w:numPr>
      </w:pPr>
      <w:r w:rsidRPr="005D259C">
        <w:rPr>
          <w:b/>
          <w:bCs/>
        </w:rPr>
        <w:t>Support for Inclusive Practice</w:t>
      </w:r>
    </w:p>
    <w:p w:rsidR="0071160A" w:rsidP="005D259C" w:rsidRDefault="005D259C" w14:paraId="3BFD9B87" w14:textId="77777777">
      <w:pPr>
        <w:numPr>
          <w:ilvl w:val="1"/>
          <w:numId w:val="1"/>
        </w:numPr>
      </w:pPr>
      <w:r w:rsidRPr="005D259C">
        <w:t>S</w:t>
      </w:r>
      <w:r>
        <w:t>ENCOs</w:t>
      </w:r>
      <w:r w:rsidRPr="005D259C">
        <w:t xml:space="preserve"> will have access to training</w:t>
      </w:r>
      <w:r>
        <w:t xml:space="preserve"> and support through</w:t>
      </w:r>
      <w:r w:rsidR="0071160A">
        <w:t xml:space="preserve">: </w:t>
      </w:r>
    </w:p>
    <w:p w:rsidR="005D259C" w:rsidP="0071160A" w:rsidRDefault="005D259C" w14:paraId="39A510A9" w14:textId="6895201B">
      <w:pPr>
        <w:numPr>
          <w:ilvl w:val="2"/>
          <w:numId w:val="1"/>
        </w:numPr>
      </w:pPr>
      <w:r>
        <w:t xml:space="preserve">Exceptional Needs Grant Clusters for CPD </w:t>
      </w:r>
      <w:r w:rsidRPr="005D259C">
        <w:t xml:space="preserve">to strengthen </w:t>
      </w:r>
      <w:r>
        <w:t>practice.</w:t>
      </w:r>
    </w:p>
    <w:p w:rsidR="0071160A" w:rsidP="0071160A" w:rsidRDefault="0071160A" w14:paraId="6AD7B6E3" w14:textId="3D977D75">
      <w:pPr>
        <w:numPr>
          <w:ilvl w:val="2"/>
          <w:numId w:val="1"/>
        </w:numPr>
      </w:pPr>
      <w:r>
        <w:t>SEND Twilight Sessions</w:t>
      </w:r>
    </w:p>
    <w:p w:rsidRPr="005D259C" w:rsidR="0071160A" w:rsidP="0071160A" w:rsidRDefault="0071160A" w14:paraId="6B885C0E" w14:textId="27D91B16">
      <w:pPr>
        <w:numPr>
          <w:ilvl w:val="2"/>
          <w:numId w:val="1"/>
        </w:numPr>
      </w:pPr>
      <w:r>
        <w:t xml:space="preserve">Camden Learning </w:t>
      </w:r>
    </w:p>
    <w:p w:rsidRPr="005D259C" w:rsidR="005D259C" w:rsidP="005D259C" w:rsidRDefault="005D259C" w14:paraId="0C7CF55F" w14:textId="77777777" w14:noSpellErr="1">
      <w:pPr>
        <w:numPr>
          <w:ilvl w:val="1"/>
          <w:numId w:val="1"/>
        </w:numPr>
        <w:rPr/>
      </w:pPr>
      <w:r w:rsidR="005D259C">
        <w:rPr/>
        <w:t>The service will share good practice examples and research-informed strategies to support the graduated approach.</w:t>
      </w:r>
    </w:p>
    <w:p w:rsidRPr="005D259C" w:rsidR="005D259C" w:rsidP="005D259C" w:rsidRDefault="005D259C" w14:paraId="30DDF46F" w14:textId="1EF75FF4" w14:noSpellErr="1">
      <w:pPr>
        <w:numPr>
          <w:ilvl w:val="1"/>
          <w:numId w:val="1"/>
        </w:numPr>
        <w:rPr/>
      </w:pPr>
      <w:r w:rsidR="005D259C">
        <w:rPr/>
        <w:t>Mainstream inclusion</w:t>
      </w:r>
      <w:r w:rsidR="005D259C">
        <w:rPr/>
        <w:t xml:space="preserve"> will be co-designed and coordinated with Camden Learning to align with whole-school development and leadership priorities.</w:t>
      </w:r>
    </w:p>
    <w:p w:rsidRPr="005D259C" w:rsidR="005D259C" w:rsidP="005D259C" w:rsidRDefault="005D259C" w14:paraId="4DF725A2" w14:textId="283DD128">
      <w:pPr>
        <w:numPr>
          <w:ilvl w:val="0"/>
          <w:numId w:val="1"/>
        </w:numPr>
      </w:pPr>
      <w:r w:rsidRPr="005D259C">
        <w:rPr>
          <w:b/>
          <w:bCs/>
        </w:rPr>
        <w:t xml:space="preserve">Collaborative </w:t>
      </w:r>
      <w:r>
        <w:rPr>
          <w:b/>
          <w:bCs/>
        </w:rPr>
        <w:t>Decision Making</w:t>
      </w:r>
    </w:p>
    <w:p w:rsidRPr="005D259C" w:rsidR="005D259C" w:rsidP="005D259C" w:rsidRDefault="005D259C" w14:paraId="1D6B937E" w14:textId="1C32B2AD">
      <w:pPr>
        <w:numPr>
          <w:ilvl w:val="1"/>
          <w:numId w:val="1"/>
        </w:numPr>
      </w:pPr>
      <w:r>
        <w:lastRenderedPageBreak/>
        <w:t xml:space="preserve">Terms of references will be available for all multi-agency decision making to ensure transparency and clarity of </w:t>
      </w:r>
      <w:proofErr w:type="gramStart"/>
      <w:r>
        <w:t>decision making</w:t>
      </w:r>
      <w:proofErr w:type="gramEnd"/>
      <w:r>
        <w:t xml:space="preserve"> processes.</w:t>
      </w:r>
    </w:p>
    <w:p w:rsidRPr="005D259C" w:rsidR="005D259C" w:rsidP="005D259C" w:rsidRDefault="005D259C" w14:paraId="430601DE" w14:textId="5001FC62">
      <w:pPr>
        <w:numPr>
          <w:ilvl w:val="1"/>
          <w:numId w:val="1"/>
        </w:numPr>
      </w:pPr>
      <w:r>
        <w:t>Leadership</w:t>
      </w:r>
      <w:r w:rsidRPr="005D259C">
        <w:t xml:space="preserve"> will </w:t>
      </w:r>
      <w:r>
        <w:t xml:space="preserve">continue to </w:t>
      </w:r>
      <w:r w:rsidRPr="005D259C">
        <w:t>engage with SENCO</w:t>
      </w:r>
      <w:r>
        <w:t xml:space="preserve"> and Headteacher</w:t>
      </w:r>
      <w:r w:rsidRPr="005D259C">
        <w:t xml:space="preserve"> forums to identify shared priorities and challenges.</w:t>
      </w:r>
    </w:p>
    <w:p w:rsidRPr="005D259C" w:rsidR="005D259C" w:rsidP="005D259C" w:rsidRDefault="005D259C" w14:paraId="2323E0ED" w14:textId="77777777">
      <w:pPr>
        <w:numPr>
          <w:ilvl w:val="0"/>
          <w:numId w:val="1"/>
        </w:numPr>
      </w:pPr>
      <w:r w:rsidRPr="005D259C">
        <w:rPr>
          <w:b/>
          <w:bCs/>
        </w:rPr>
        <w:t>Support During Transition and Review</w:t>
      </w:r>
    </w:p>
    <w:p w:rsidRPr="005D259C" w:rsidR="005D259C" w:rsidP="005D259C" w:rsidRDefault="005D259C" w14:paraId="3278A80F" w14:textId="77777777">
      <w:pPr>
        <w:numPr>
          <w:ilvl w:val="1"/>
          <w:numId w:val="1"/>
        </w:numPr>
      </w:pPr>
      <w:r w:rsidRPr="005D259C">
        <w:t>Camden will provide early guidance for phase transfers and offer joined-up planning with services and families.</w:t>
      </w:r>
    </w:p>
    <w:p w:rsidRPr="005D259C" w:rsidR="005D259C" w:rsidP="005D259C" w:rsidRDefault="005D259C" w14:paraId="59D4179F" w14:textId="77777777">
      <w:pPr>
        <w:numPr>
          <w:ilvl w:val="1"/>
          <w:numId w:val="1"/>
        </w:numPr>
      </w:pPr>
      <w:r w:rsidRPr="005D259C">
        <w:t>Educational Psychologists and Inclusion Officers will support preparation for Annual Reviews, especially for complex cases.</w:t>
      </w:r>
    </w:p>
    <w:p w:rsidRPr="005D259C" w:rsidR="005D259C" w:rsidP="005D259C" w:rsidRDefault="00EC2F8C" w14:paraId="389B163D" w14:textId="77777777">
      <w:r>
        <w:pict w14:anchorId="428395DF">
          <v:rect id="_x0000_i1026" style="width:0;height:1.5pt" o:hr="t" o:hrstd="t" o:hralign="center" fillcolor="#a0a0a0" stroked="f"/>
        </w:pict>
      </w:r>
    </w:p>
    <w:p w:rsidRPr="005D259C" w:rsidR="005D259C" w:rsidP="005D259C" w:rsidRDefault="005D259C" w14:paraId="30B0F615" w14:textId="77777777">
      <w:r w:rsidRPr="005D259C">
        <w:rPr>
          <w:b/>
          <w:bCs/>
        </w:rPr>
        <w:t>How We Will Measure Improvement in Our Relationship and Delivery</w:t>
      </w:r>
    </w:p>
    <w:p w:rsidRPr="005D259C" w:rsidR="005D259C" w:rsidP="005D259C" w:rsidRDefault="005D259C" w14:paraId="0FDD47E4" w14:textId="77777777">
      <w:pPr>
        <w:numPr>
          <w:ilvl w:val="0"/>
          <w:numId w:val="2"/>
        </w:numPr>
      </w:pPr>
      <w:r w:rsidRPr="005D259C">
        <w:rPr>
          <w:b/>
          <w:bCs/>
        </w:rPr>
        <w:t>Annual School SEND Survey</w:t>
      </w:r>
    </w:p>
    <w:p w:rsidRPr="005D259C" w:rsidR="005D259C" w:rsidP="005D259C" w:rsidRDefault="005D259C" w14:paraId="371BBB83" w14:textId="428C979E">
      <w:pPr>
        <w:numPr>
          <w:ilvl w:val="1"/>
          <w:numId w:val="2"/>
        </w:numPr>
      </w:pPr>
      <w:r w:rsidRPr="005D259C">
        <w:t>Schools will be asked to rate satisfaction across key domains: communication, process clarity, timeliness, and effectiveness.</w:t>
      </w:r>
      <w:r>
        <w:t xml:space="preserve"> Teams will also send feedback forms to schools following statutory or advisory processes.</w:t>
      </w:r>
    </w:p>
    <w:p w:rsidRPr="005D259C" w:rsidR="005D259C" w:rsidP="005D259C" w:rsidRDefault="005D259C" w14:paraId="5AB69B65" w14:textId="6DA86542">
      <w:pPr>
        <w:numPr>
          <w:ilvl w:val="0"/>
          <w:numId w:val="2"/>
        </w:numPr>
      </w:pPr>
      <w:r>
        <w:rPr>
          <w:b/>
          <w:bCs/>
        </w:rPr>
        <w:t xml:space="preserve">Quality Assurance and </w:t>
      </w:r>
      <w:r w:rsidRPr="005D259C">
        <w:rPr>
          <w:b/>
          <w:bCs/>
        </w:rPr>
        <w:t xml:space="preserve">Audit of </w:t>
      </w:r>
      <w:r>
        <w:rPr>
          <w:b/>
          <w:bCs/>
        </w:rPr>
        <w:t>Statutory Processes</w:t>
      </w:r>
    </w:p>
    <w:p w:rsidRPr="005D259C" w:rsidR="005D259C" w:rsidP="005D259C" w:rsidRDefault="005D259C" w14:paraId="2A74580C" w14:textId="3472A6C0">
      <w:pPr>
        <w:numPr>
          <w:ilvl w:val="1"/>
          <w:numId w:val="2"/>
        </w:numPr>
      </w:pPr>
      <w:r>
        <w:t xml:space="preserve">EHC plans, </w:t>
      </w:r>
      <w:proofErr w:type="gramStart"/>
      <w:r>
        <w:t>advices</w:t>
      </w:r>
      <w:proofErr w:type="gramEnd"/>
      <w:r>
        <w:t xml:space="preserve"> and key paperwork</w:t>
      </w:r>
      <w:r w:rsidRPr="005D259C">
        <w:t xml:space="preserve"> will be audited termly for compliance and support provided.</w:t>
      </w:r>
      <w:r>
        <w:t xml:space="preserve"> Results from audits will be shared with schools and the partnership to embed learning and celebrate best practice.</w:t>
      </w:r>
    </w:p>
    <w:p w:rsidRPr="005D259C" w:rsidR="005D259C" w:rsidP="005D259C" w:rsidRDefault="005D259C" w14:paraId="4C627C7B" w14:textId="77777777">
      <w:pPr>
        <w:numPr>
          <w:ilvl w:val="0"/>
          <w:numId w:val="2"/>
        </w:numPr>
      </w:pPr>
      <w:r w:rsidRPr="005D259C">
        <w:rPr>
          <w:b/>
          <w:bCs/>
        </w:rPr>
        <w:t>Tracking Engagement</w:t>
      </w:r>
    </w:p>
    <w:p w:rsidRPr="005D259C" w:rsidR="005D259C" w:rsidP="005D259C" w:rsidRDefault="005D259C" w14:paraId="794E5665" w14:textId="4332FC82">
      <w:pPr>
        <w:numPr>
          <w:ilvl w:val="1"/>
          <w:numId w:val="2"/>
        </w:numPr>
      </w:pPr>
      <w:r w:rsidRPr="005D259C">
        <w:t>Attendance and participation in LA-offered training, consultation, and planning meetings will be monitored</w:t>
      </w:r>
      <w:r>
        <w:t xml:space="preserve"> to observe engagement.</w:t>
      </w:r>
    </w:p>
    <w:p w:rsidRPr="005D259C" w:rsidR="005D259C" w:rsidP="005D259C" w:rsidRDefault="005D259C" w14:paraId="5B962F6D" w14:textId="77777777">
      <w:pPr>
        <w:numPr>
          <w:ilvl w:val="0"/>
          <w:numId w:val="2"/>
        </w:numPr>
      </w:pPr>
      <w:r w:rsidRPr="005D259C">
        <w:rPr>
          <w:b/>
          <w:bCs/>
        </w:rPr>
        <w:t>Issue Resolution Monitoring</w:t>
      </w:r>
    </w:p>
    <w:p w:rsidRPr="005D259C" w:rsidR="005D259C" w:rsidP="005D259C" w:rsidRDefault="005D259C" w14:paraId="2BA64729" w14:textId="77777777">
      <w:pPr>
        <w:numPr>
          <w:ilvl w:val="1"/>
          <w:numId w:val="2"/>
        </w:numPr>
      </w:pPr>
      <w:r w:rsidRPr="005D259C">
        <w:t>Queries and escalations will be logged and reviewed quarterly to identify systemic issues or gaps in provision.</w:t>
      </w:r>
    </w:p>
    <w:p w:rsidRPr="005D259C" w:rsidR="005D259C" w:rsidP="005D259C" w:rsidRDefault="00EC2F8C" w14:paraId="2504AC37" w14:textId="77777777">
      <w:r>
        <w:pict w14:anchorId="4D196AF2">
          <v:rect id="_x0000_i1027" style="width:0;height:1.5pt" o:hr="t" o:hrstd="t" o:hralign="center" fillcolor="#a0a0a0" stroked="f"/>
        </w:pict>
      </w:r>
    </w:p>
    <w:p w:rsidRPr="005D259C" w:rsidR="005D259C" w:rsidP="005D259C" w:rsidRDefault="005D259C" w14:paraId="3F4F75EC" w14:textId="77777777">
      <w:r w:rsidRPr="005D259C">
        <w:rPr>
          <w:b/>
          <w:bCs/>
        </w:rPr>
        <w:t>How We Will Use School Feedback</w:t>
      </w:r>
    </w:p>
    <w:p w:rsidRPr="005D259C" w:rsidR="005D259C" w:rsidP="005D259C" w:rsidRDefault="005D259C" w14:paraId="666BC48F" w14:textId="0CD57523" w14:noSpellErr="1">
      <w:pPr>
        <w:numPr>
          <w:ilvl w:val="0"/>
          <w:numId w:val="3"/>
        </w:numPr>
        <w:rPr/>
      </w:pPr>
      <w:r w:rsidR="005D259C">
        <w:rPr/>
        <w:t xml:space="preserve">Feedback themes will be shared back with schools </w:t>
      </w:r>
      <w:r w:rsidR="005D259C">
        <w:rPr/>
        <w:t>annually</w:t>
      </w:r>
      <w:r w:rsidR="005D259C">
        <w:rPr/>
        <w:t xml:space="preserve">, </w:t>
      </w:r>
      <w:r w:rsidR="005D259C">
        <w:rPr/>
        <w:t>alongside "You Said, We Did" updates.</w:t>
      </w:r>
    </w:p>
    <w:p w:rsidRPr="005D259C" w:rsidR="005D259C" w:rsidP="005D259C" w:rsidRDefault="005D259C" w14:paraId="4F609C62" w14:textId="77777777">
      <w:pPr>
        <w:numPr>
          <w:ilvl w:val="0"/>
          <w:numId w:val="3"/>
        </w:numPr>
      </w:pPr>
      <w:r w:rsidRPr="005D259C">
        <w:t>Feedback will inform continuous service improvement, updates to guidance, and staff training priorities.</w:t>
      </w:r>
    </w:p>
    <w:p w:rsidRPr="005D259C" w:rsidR="005D259C" w:rsidP="005D259C" w:rsidRDefault="005D259C" w14:paraId="485C2DCC" w14:textId="752897F9">
      <w:pPr>
        <w:numPr>
          <w:ilvl w:val="0"/>
          <w:numId w:val="3"/>
        </w:numPr>
      </w:pPr>
      <w:r w:rsidRPr="005D259C">
        <w:t>Schools will be invited to co-produce improvements and pilot new ways of working</w:t>
      </w:r>
      <w:r>
        <w:t>.</w:t>
      </w:r>
    </w:p>
    <w:p w:rsidRPr="005D259C" w:rsidR="005D259C" w:rsidP="005D259C" w:rsidRDefault="005D259C" w14:paraId="1355CEEB" w14:textId="77777777">
      <w:pPr>
        <w:numPr>
          <w:ilvl w:val="0"/>
          <w:numId w:val="3"/>
        </w:numPr>
      </w:pPr>
      <w:r w:rsidRPr="005D259C">
        <w:t>Camden Learning will be a key partner in gathering, analysing and responding to school feedback to ensure system-wide learning and alignment.</w:t>
      </w:r>
    </w:p>
    <w:p w:rsidRPr="005D259C" w:rsidR="005D259C" w:rsidP="005D259C" w:rsidRDefault="00EC2F8C" w14:paraId="5DEFBEBF" w14:textId="77777777">
      <w:r>
        <w:pict w14:anchorId="6328A512">
          <v:rect id="_x0000_i1028" style="width:0;height:1.5pt" o:hr="t" o:hrstd="t" o:hralign="center" fillcolor="#a0a0a0" stroked="f"/>
        </w:pict>
      </w:r>
    </w:p>
    <w:p w:rsidRPr="005D259C" w:rsidR="005D259C" w:rsidP="005D259C" w:rsidRDefault="005D259C" w14:paraId="51759A20" w14:textId="6DCF179E">
      <w:r w:rsidRPr="005D259C">
        <w:lastRenderedPageBreak/>
        <w:t>These standards reflect our shared commitment to partnership, inclusion, and continuous improvement. By setting out clear expectations and actively listening to schools, Camden SEND and Inclusion Service aims to ensure that every child and young person receives the right support</w:t>
      </w:r>
      <w:r w:rsidR="009B1E98">
        <w:t>, as early as possible,</w:t>
      </w:r>
      <w:r w:rsidRPr="005D259C">
        <w:t xml:space="preserve"> to thrive in </w:t>
      </w:r>
      <w:r w:rsidR="009B1E98">
        <w:t>education</w:t>
      </w:r>
      <w:r w:rsidRPr="005D259C">
        <w:t>. Our collaboration with Camden Learning ensures that this work is rooted in borough-wide ambition for educational equity and excellence.</w:t>
      </w:r>
    </w:p>
    <w:p w:rsidR="00DB3F9A" w:rsidRDefault="00DB3F9A" w14:paraId="1E19045F" w14:textId="77777777"/>
    <w:sectPr w:rsidR="00DB3F9A">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8B649C"/>
    <w:multiLevelType w:val="multilevel"/>
    <w:tmpl w:val="11D220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71A06DF"/>
    <w:multiLevelType w:val="multilevel"/>
    <w:tmpl w:val="735AE1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48AD6171"/>
    <w:multiLevelType w:val="multilevel"/>
    <w:tmpl w:val="D26E4B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3477633">
    <w:abstractNumId w:val="2"/>
  </w:num>
  <w:num w:numId="2" w16cid:durableId="483550978">
    <w:abstractNumId w:val="0"/>
  </w:num>
  <w:num w:numId="3" w16cid:durableId="2143039040">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59C"/>
    <w:rsid w:val="00436C2B"/>
    <w:rsid w:val="005D259C"/>
    <w:rsid w:val="0071160A"/>
    <w:rsid w:val="008B5D55"/>
    <w:rsid w:val="009B1E98"/>
    <w:rsid w:val="00CE3116"/>
    <w:rsid w:val="00DA3413"/>
    <w:rsid w:val="00DB3F9A"/>
    <w:rsid w:val="00E444FA"/>
    <w:rsid w:val="00EC2F8C"/>
    <w:rsid w:val="12006396"/>
    <w:rsid w:val="461052C0"/>
    <w:rsid w:val="66A7DC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8E143A4"/>
  <w15:chartTrackingRefBased/>
  <w15:docId w15:val="{B9E8CA83-63D0-4A15-BCD0-8FBB396BF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D259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259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25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25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25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25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25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25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259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D259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D259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D259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D259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D259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D259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D259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D259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D259C"/>
    <w:rPr>
      <w:rFonts w:eastAsiaTheme="majorEastAsia" w:cstheme="majorBidi"/>
      <w:color w:val="272727" w:themeColor="text1" w:themeTint="D8"/>
    </w:rPr>
  </w:style>
  <w:style w:type="paragraph" w:styleId="Title">
    <w:name w:val="Title"/>
    <w:basedOn w:val="Normal"/>
    <w:next w:val="Normal"/>
    <w:link w:val="TitleChar"/>
    <w:uiPriority w:val="10"/>
    <w:qFormat/>
    <w:rsid w:val="005D259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D259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D259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D25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259C"/>
    <w:pPr>
      <w:spacing w:before="160"/>
      <w:jc w:val="center"/>
    </w:pPr>
    <w:rPr>
      <w:i/>
      <w:iCs/>
      <w:color w:val="404040" w:themeColor="text1" w:themeTint="BF"/>
    </w:rPr>
  </w:style>
  <w:style w:type="character" w:styleId="QuoteChar" w:customStyle="1">
    <w:name w:val="Quote Char"/>
    <w:basedOn w:val="DefaultParagraphFont"/>
    <w:link w:val="Quote"/>
    <w:uiPriority w:val="29"/>
    <w:rsid w:val="005D259C"/>
    <w:rPr>
      <w:i/>
      <w:iCs/>
      <w:color w:val="404040" w:themeColor="text1" w:themeTint="BF"/>
    </w:rPr>
  </w:style>
  <w:style w:type="paragraph" w:styleId="ListParagraph">
    <w:name w:val="List Paragraph"/>
    <w:basedOn w:val="Normal"/>
    <w:uiPriority w:val="34"/>
    <w:qFormat/>
    <w:rsid w:val="005D259C"/>
    <w:pPr>
      <w:ind w:left="720"/>
      <w:contextualSpacing/>
    </w:pPr>
  </w:style>
  <w:style w:type="character" w:styleId="IntenseEmphasis">
    <w:name w:val="Intense Emphasis"/>
    <w:basedOn w:val="DefaultParagraphFont"/>
    <w:uiPriority w:val="21"/>
    <w:qFormat/>
    <w:rsid w:val="005D259C"/>
    <w:rPr>
      <w:i/>
      <w:iCs/>
      <w:color w:val="0F4761" w:themeColor="accent1" w:themeShade="BF"/>
    </w:rPr>
  </w:style>
  <w:style w:type="paragraph" w:styleId="IntenseQuote">
    <w:name w:val="Intense Quote"/>
    <w:basedOn w:val="Normal"/>
    <w:next w:val="Normal"/>
    <w:link w:val="IntenseQuoteChar"/>
    <w:uiPriority w:val="30"/>
    <w:qFormat/>
    <w:rsid w:val="005D259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D259C"/>
    <w:rPr>
      <w:i/>
      <w:iCs/>
      <w:color w:val="0F4761" w:themeColor="accent1" w:themeShade="BF"/>
    </w:rPr>
  </w:style>
  <w:style w:type="character" w:styleId="IntenseReference">
    <w:name w:val="Intense Reference"/>
    <w:basedOn w:val="DefaultParagraphFont"/>
    <w:uiPriority w:val="32"/>
    <w:qFormat/>
    <w:rsid w:val="005D259C"/>
    <w:rPr>
      <w:b/>
      <w:bCs/>
      <w:smallCaps/>
      <w:color w:val="0F4761" w:themeColor="accent1" w:themeShade="BF"/>
      <w:spacing w:val="5"/>
    </w:rPr>
  </w:style>
  <w:style w:type="character" w:styleId="CommentReference">
    <w:name w:val="annotation reference"/>
    <w:basedOn w:val="DefaultParagraphFont"/>
    <w:uiPriority w:val="99"/>
    <w:semiHidden/>
    <w:unhideWhenUsed/>
    <w:rsid w:val="005D259C"/>
    <w:rPr>
      <w:sz w:val="16"/>
      <w:szCs w:val="16"/>
    </w:rPr>
  </w:style>
  <w:style w:type="paragraph" w:styleId="CommentText">
    <w:name w:val="annotation text"/>
    <w:basedOn w:val="Normal"/>
    <w:link w:val="CommentTextChar"/>
    <w:uiPriority w:val="99"/>
    <w:unhideWhenUsed/>
    <w:rsid w:val="005D259C"/>
    <w:pPr>
      <w:spacing w:line="240" w:lineRule="auto"/>
    </w:pPr>
    <w:rPr>
      <w:sz w:val="20"/>
      <w:szCs w:val="20"/>
    </w:rPr>
  </w:style>
  <w:style w:type="character" w:styleId="CommentTextChar" w:customStyle="1">
    <w:name w:val="Comment Text Char"/>
    <w:basedOn w:val="DefaultParagraphFont"/>
    <w:link w:val="CommentText"/>
    <w:uiPriority w:val="99"/>
    <w:rsid w:val="005D259C"/>
    <w:rPr>
      <w:sz w:val="20"/>
      <w:szCs w:val="20"/>
    </w:rPr>
  </w:style>
  <w:style w:type="paragraph" w:styleId="CommentSubject">
    <w:name w:val="annotation subject"/>
    <w:basedOn w:val="CommentText"/>
    <w:next w:val="CommentText"/>
    <w:link w:val="CommentSubjectChar"/>
    <w:uiPriority w:val="99"/>
    <w:semiHidden/>
    <w:unhideWhenUsed/>
    <w:rsid w:val="005D259C"/>
    <w:rPr>
      <w:b/>
      <w:bCs/>
    </w:rPr>
  </w:style>
  <w:style w:type="character" w:styleId="CommentSubjectChar" w:customStyle="1">
    <w:name w:val="Comment Subject Char"/>
    <w:basedOn w:val="CommentTextChar"/>
    <w:link w:val="CommentSubject"/>
    <w:uiPriority w:val="99"/>
    <w:semiHidden/>
    <w:rsid w:val="005D259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125698">
      <w:bodyDiv w:val="1"/>
      <w:marLeft w:val="0"/>
      <w:marRight w:val="0"/>
      <w:marTop w:val="0"/>
      <w:marBottom w:val="0"/>
      <w:divBdr>
        <w:top w:val="none" w:sz="0" w:space="0" w:color="auto"/>
        <w:left w:val="none" w:sz="0" w:space="0" w:color="auto"/>
        <w:bottom w:val="none" w:sz="0" w:space="0" w:color="auto"/>
        <w:right w:val="none" w:sz="0" w:space="0" w:color="auto"/>
      </w:divBdr>
      <w:divsChild>
        <w:div w:id="1383167273">
          <w:marLeft w:val="0"/>
          <w:marRight w:val="0"/>
          <w:marTop w:val="0"/>
          <w:marBottom w:val="0"/>
          <w:divBdr>
            <w:top w:val="none" w:sz="0" w:space="0" w:color="auto"/>
            <w:left w:val="none" w:sz="0" w:space="0" w:color="auto"/>
            <w:bottom w:val="none" w:sz="0" w:space="0" w:color="auto"/>
            <w:right w:val="none" w:sz="0" w:space="0" w:color="auto"/>
          </w:divBdr>
        </w:div>
        <w:div w:id="2110732430">
          <w:marLeft w:val="0"/>
          <w:marRight w:val="0"/>
          <w:marTop w:val="0"/>
          <w:marBottom w:val="0"/>
          <w:divBdr>
            <w:top w:val="none" w:sz="0" w:space="0" w:color="auto"/>
            <w:left w:val="none" w:sz="0" w:space="0" w:color="auto"/>
            <w:bottom w:val="none" w:sz="0" w:space="0" w:color="auto"/>
            <w:right w:val="none" w:sz="0" w:space="0" w:color="auto"/>
          </w:divBdr>
        </w:div>
        <w:div w:id="2078362344">
          <w:marLeft w:val="0"/>
          <w:marRight w:val="0"/>
          <w:marTop w:val="0"/>
          <w:marBottom w:val="0"/>
          <w:divBdr>
            <w:top w:val="none" w:sz="0" w:space="0" w:color="auto"/>
            <w:left w:val="none" w:sz="0" w:space="0" w:color="auto"/>
            <w:bottom w:val="none" w:sz="0" w:space="0" w:color="auto"/>
            <w:right w:val="none" w:sz="0" w:space="0" w:color="auto"/>
          </w:divBdr>
        </w:div>
        <w:div w:id="6828757">
          <w:marLeft w:val="0"/>
          <w:marRight w:val="0"/>
          <w:marTop w:val="0"/>
          <w:marBottom w:val="0"/>
          <w:divBdr>
            <w:top w:val="none" w:sz="0" w:space="0" w:color="auto"/>
            <w:left w:val="none" w:sz="0" w:space="0" w:color="auto"/>
            <w:bottom w:val="none" w:sz="0" w:space="0" w:color="auto"/>
            <w:right w:val="none" w:sz="0" w:space="0" w:color="auto"/>
          </w:divBdr>
        </w:div>
      </w:divsChild>
    </w:div>
    <w:div w:id="1655178388">
      <w:bodyDiv w:val="1"/>
      <w:marLeft w:val="0"/>
      <w:marRight w:val="0"/>
      <w:marTop w:val="0"/>
      <w:marBottom w:val="0"/>
      <w:divBdr>
        <w:top w:val="none" w:sz="0" w:space="0" w:color="auto"/>
        <w:left w:val="none" w:sz="0" w:space="0" w:color="auto"/>
        <w:bottom w:val="none" w:sz="0" w:space="0" w:color="auto"/>
        <w:right w:val="none" w:sz="0" w:space="0" w:color="auto"/>
      </w:divBdr>
      <w:divsChild>
        <w:div w:id="1093555000">
          <w:marLeft w:val="0"/>
          <w:marRight w:val="0"/>
          <w:marTop w:val="0"/>
          <w:marBottom w:val="0"/>
          <w:divBdr>
            <w:top w:val="none" w:sz="0" w:space="0" w:color="auto"/>
            <w:left w:val="none" w:sz="0" w:space="0" w:color="auto"/>
            <w:bottom w:val="none" w:sz="0" w:space="0" w:color="auto"/>
            <w:right w:val="none" w:sz="0" w:space="0" w:color="auto"/>
          </w:divBdr>
        </w:div>
        <w:div w:id="754129130">
          <w:marLeft w:val="0"/>
          <w:marRight w:val="0"/>
          <w:marTop w:val="0"/>
          <w:marBottom w:val="0"/>
          <w:divBdr>
            <w:top w:val="none" w:sz="0" w:space="0" w:color="auto"/>
            <w:left w:val="none" w:sz="0" w:space="0" w:color="auto"/>
            <w:bottom w:val="none" w:sz="0" w:space="0" w:color="auto"/>
            <w:right w:val="none" w:sz="0" w:space="0" w:color="auto"/>
          </w:divBdr>
        </w:div>
        <w:div w:id="520826690">
          <w:marLeft w:val="0"/>
          <w:marRight w:val="0"/>
          <w:marTop w:val="0"/>
          <w:marBottom w:val="0"/>
          <w:divBdr>
            <w:top w:val="none" w:sz="0" w:space="0" w:color="auto"/>
            <w:left w:val="none" w:sz="0" w:space="0" w:color="auto"/>
            <w:bottom w:val="none" w:sz="0" w:space="0" w:color="auto"/>
            <w:right w:val="none" w:sz="0" w:space="0" w:color="auto"/>
          </w:divBdr>
        </w:div>
        <w:div w:id="480654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16/09/relationships/commentsIds" Target="commentsIds.xml" Id="rId7" /><Relationship Type="http://schemas.openxmlformats.org/officeDocument/2006/relationships/styles" Target="styles.xml" Id="rId2" /><Relationship Type="http://schemas.openxmlformats.org/officeDocument/2006/relationships/numbering" Target="numbering.xml" Id="rId1" /><Relationship Type="http://schemas.microsoft.com/office/2011/relationships/commentsExtended" Target="commentsExtended.xml" Id="rId6" /><Relationship Type="http://schemas.openxmlformats.org/officeDocument/2006/relationships/theme" Target="theme/theme1.xml" Id="rId11" /><Relationship Type="http://schemas.microsoft.com/office/2011/relationships/people" Target="people.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London Borough of Camden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Louise Brown (SEN)</dc:creator>
  <keywords/>
  <dc:description/>
  <lastModifiedBy>Jessica Snow</lastModifiedBy>
  <revision>4</revision>
  <dcterms:created xsi:type="dcterms:W3CDTF">2025-06-12T07:37:00.0000000Z</dcterms:created>
  <dcterms:modified xsi:type="dcterms:W3CDTF">2025-10-03T08:35:36.0033452Z</dcterms:modified>
</coreProperties>
</file>